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7AB1" w:rsidRDefault="00FF6AA1">
      <w:pPr>
        <w:pStyle w:val="a3"/>
        <w:tabs>
          <w:tab w:val="left" w:pos="8931"/>
        </w:tabs>
        <w:overflowPunct w:val="0"/>
        <w:spacing w:before="0" w:beforeAutospacing="0" w:after="0" w:afterAutospacing="0"/>
        <w:ind w:right="-143"/>
        <w:jc w:val="center"/>
        <w:rPr>
          <w:rFonts w:eastAsia="Century Gothic"/>
          <w:b/>
          <w:bCs/>
          <w:color w:val="3B3838"/>
          <w:position w:val="1"/>
          <w:sz w:val="36"/>
          <w:szCs w:val="36"/>
        </w:rPr>
      </w:pPr>
      <w:bookmarkStart w:id="0" w:name="_GoBack"/>
      <w:bookmarkEnd w:id="0"/>
      <w:r>
        <w:rPr>
          <w:rFonts w:eastAsia="Century Gothic"/>
          <w:b/>
          <w:bCs/>
          <w:color w:val="3B3838"/>
          <w:position w:val="1"/>
          <w:sz w:val="36"/>
          <w:szCs w:val="36"/>
        </w:rPr>
        <w:t>Инструкция по размещению отчетности администраторов доходов иных бюджетов на Едином портале бюджетной системы Российской Федерации</w:t>
      </w:r>
    </w:p>
    <w:p w:rsidR="00A67AB1" w:rsidRDefault="00A67AB1">
      <w:pPr>
        <w:pStyle w:val="a3"/>
        <w:tabs>
          <w:tab w:val="left" w:pos="8931"/>
        </w:tabs>
        <w:overflowPunct w:val="0"/>
        <w:spacing w:before="0" w:beforeAutospacing="0" w:after="0" w:afterAutospacing="0"/>
        <w:ind w:right="-143"/>
        <w:rPr>
          <w:rFonts w:eastAsia="Century Gothic"/>
          <w:b/>
          <w:bCs/>
          <w:color w:val="3B3838"/>
          <w:position w:val="1"/>
          <w:sz w:val="36"/>
          <w:szCs w:val="36"/>
        </w:rPr>
      </w:pP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Times New Roman" w:hAnsi="Times New Roman" w:cs="Times New Roman"/>
          <w:sz w:val="32"/>
          <w:szCs w:val="32"/>
        </w:rPr>
        <w:tab/>
        <w:t>Размещение отчетности администраторов доходов иных бюджетов на Едином портале</w:t>
      </w: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24550" cy="30003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B1" w:rsidRDefault="00FF6AA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Отчетность администраторов доходов иных</w:t>
      </w:r>
      <w:r>
        <w:rPr>
          <w:rFonts w:ascii="Times New Roman" w:hAnsi="Times New Roman" w:cs="Times New Roman"/>
          <w:sz w:val="32"/>
          <w:szCs w:val="32"/>
        </w:rPr>
        <w:t xml:space="preserve"> бюджетов размещена на странице «Бюджетная отчетность бюджетной системы РФ» (Бюджет</w:t>
      </w:r>
      <w:hyperlink r:id="rId7" w:history="1"/>
      <w:r>
        <w:rPr>
          <w:rFonts w:ascii="Times New Roman" w:hAnsi="Times New Roman" w:cs="Times New Roman"/>
          <w:sz w:val="32"/>
          <w:szCs w:val="32"/>
        </w:rPr>
        <w:t> &gt; </w:t>
      </w:r>
      <w:hyperlink r:id="rId8" w:history="1">
        <w:r>
          <w:rPr>
            <w:rFonts w:ascii="Times New Roman" w:hAnsi="Times New Roman" w:cs="Times New Roman"/>
            <w:sz w:val="32"/>
            <w:szCs w:val="32"/>
          </w:rPr>
          <w:t>Бюджетная отчетность</w:t>
        </w:r>
      </w:hyperlink>
      <w:r>
        <w:rPr>
          <w:rFonts w:ascii="Times New Roman" w:hAnsi="Times New Roman" w:cs="Times New Roman"/>
          <w:sz w:val="32"/>
          <w:szCs w:val="32"/>
        </w:rPr>
        <w:t> &gt; Бюджетная отчетность бюджетов бюджетной системы РФ) для представления по уровню бюджета: «Региональный уровень»</w:t>
      </w:r>
      <w:r>
        <w:rPr>
          <w:rFonts w:ascii="Times New Roman" w:hAnsi="Times New Roman" w:cs="Times New Roman"/>
          <w:sz w:val="32"/>
          <w:szCs w:val="32"/>
        </w:rPr>
        <w:t xml:space="preserve">, «Муниципальный уровень» и «Все». </w:t>
      </w:r>
    </w:p>
    <w:p w:rsidR="00A67AB1" w:rsidRDefault="00A67AB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lastRenderedPageBreak/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Периодичность: годовая, квартальная (отчетность для годового представления будет доступна по мере предоставления данных)</w:t>
      </w:r>
      <w:r>
        <w:rPr>
          <w:noProof/>
          <w:lang w:eastAsia="ru-RU"/>
        </w:rPr>
        <w:drawing>
          <wp:inline distT="0" distB="0" distL="0" distR="0">
            <wp:extent cx="5924550" cy="29622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B1" w:rsidRDefault="00FF6AA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 w:hint="eastAsia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Для вывода данных необходимо выбрать соответствующий отчет или раздел отчета в блоке «Отчетно</w:t>
      </w:r>
      <w:r>
        <w:rPr>
          <w:rFonts w:ascii="Times New Roman" w:hAnsi="Times New Roman" w:cs="Times New Roman"/>
          <w:sz w:val="32"/>
          <w:szCs w:val="32"/>
        </w:rPr>
        <w:t>сть администратора доходов иных бюджетов» и задать параметры: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По периоду (год, год и квартал);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По субъекту отчетности (возможен контекстный поиск по коду СВР или наименованию);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По субъекту РФ или муниципальному образованию (в соответствии с уровнем бюджета</w:t>
      </w:r>
      <w:r>
        <w:rPr>
          <w:sz w:val="32"/>
          <w:szCs w:val="32"/>
        </w:rPr>
        <w:t>; возможен контекстный поиск по коду ОКТМО или наименованию; по муниципальным образованиям параметр содержит иерархический список, по умолчанию список раскрыт до уровня районов);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Код формы (предусмотрен для отчета по ОКУД 0503127)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Аналитический признак (пр</w:t>
      </w:r>
      <w:r>
        <w:rPr>
          <w:sz w:val="32"/>
          <w:szCs w:val="32"/>
        </w:rPr>
        <w:t>едусмотрен для отчета по ОКУД 0503127)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Вид задолженности (предусмотрен для отчета по ОКУД 0503169);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Вид деятельности (предусмотрен для отчета по ОКУД 0503169, 0503173);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Тип отчета;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rFonts w:ascii="MS Gothic" w:eastAsia="MS Gothic" w:hAnsi="MS Gothic" w:cs="MS Gothic"/>
          <w:sz w:val="32"/>
          <w:szCs w:val="32"/>
        </w:rPr>
      </w:pPr>
      <w:r>
        <w:rPr>
          <w:sz w:val="32"/>
          <w:szCs w:val="32"/>
        </w:rPr>
        <w:t>Единицы измерений</w:t>
      </w:r>
    </w:p>
    <w:p w:rsidR="00A67AB1" w:rsidRDefault="00FF6AA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lastRenderedPageBreak/>
        <w:t>➤</w:t>
      </w:r>
      <w:r>
        <w:rPr>
          <w:rFonts w:ascii="MS Gothic" w:eastAsia="MS Gothic" w:hAnsi="MS Gothic" w:cs="MS Gothic" w:hint="eastAsia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Для данных по пояснительной записке реализовано </w:t>
      </w:r>
      <w:r>
        <w:rPr>
          <w:rFonts w:ascii="Times New Roman" w:hAnsi="Times New Roman" w:cs="Times New Roman"/>
          <w:sz w:val="32"/>
          <w:szCs w:val="32"/>
        </w:rPr>
        <w:t>размещение документов, которые передаются в качестве вложений</w:t>
      </w:r>
    </w:p>
    <w:p w:rsidR="00A67AB1" w:rsidRDefault="00FF6AA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24550" cy="27527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B1" w:rsidRDefault="00A67AB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A67AB1" w:rsidRDefault="00FF6AA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В отчетах реализована возможность выгрузки данных в формате *.</w:t>
      </w:r>
      <w:proofErr w:type="spellStart"/>
      <w:r>
        <w:rPr>
          <w:rFonts w:ascii="Times New Roman" w:hAnsi="Times New Roman" w:cs="Times New Roman"/>
          <w:sz w:val="32"/>
          <w:szCs w:val="32"/>
        </w:rPr>
        <w:t>txt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(ссылка для скачивания документа с указанием версии, размещена над областью параметров отчета)</w:t>
      </w: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43600" cy="29718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B1" w:rsidRDefault="00FF6AA1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Для отчетов, по которым </w:t>
      </w:r>
      <w:r>
        <w:rPr>
          <w:rFonts w:ascii="Times New Roman" w:hAnsi="Times New Roman" w:cs="Times New Roman"/>
          <w:sz w:val="32"/>
          <w:szCs w:val="32"/>
        </w:rPr>
        <w:t xml:space="preserve">предусмотрено деление по разделам, выгрузка в доступные для скачивания форматы (в том числе в формат </w:t>
      </w:r>
      <w:r>
        <w:rPr>
          <w:rFonts w:ascii="Times New Roman" w:hAnsi="Times New Roman" w:cs="Times New Roman"/>
          <w:sz w:val="32"/>
          <w:szCs w:val="32"/>
          <w:lang w:val="en-US"/>
        </w:rPr>
        <w:t>XLS</w:t>
      </w:r>
      <w:r>
        <w:rPr>
          <w:rFonts w:ascii="Times New Roman" w:hAnsi="Times New Roman" w:cs="Times New Roman"/>
          <w:sz w:val="32"/>
          <w:szCs w:val="32"/>
        </w:rPr>
        <w:t xml:space="preserve">) возможна по данным раздела или всего отчета (в </w:t>
      </w:r>
      <w:r>
        <w:rPr>
          <w:rFonts w:ascii="Times New Roman" w:hAnsi="Times New Roman" w:cs="Times New Roman"/>
          <w:sz w:val="32"/>
          <w:szCs w:val="32"/>
        </w:rPr>
        <w:lastRenderedPageBreak/>
        <w:t>области навигации необходимо выбрать раздел или запись верхнего уровня соответствующую отчету)</w:t>
      </w: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Переход в открытые данные доступен по кнопке экспорта </w:t>
      </w:r>
    </w:p>
    <w:p w:rsidR="00A67AB1" w:rsidRDefault="00A67AB1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В паспорте набора открытых данных для каждой отчетной формы размещено описание (текстовое и </w:t>
      </w:r>
      <w:proofErr w:type="spellStart"/>
      <w:r>
        <w:rPr>
          <w:rFonts w:ascii="Times New Roman" w:hAnsi="Times New Roman" w:cs="Times New Roman"/>
          <w:sz w:val="32"/>
          <w:szCs w:val="32"/>
          <w:lang w:val="en-US"/>
        </w:rPr>
        <w:t>json</w:t>
      </w:r>
      <w:proofErr w:type="spellEnd"/>
      <w:r>
        <w:rPr>
          <w:rFonts w:ascii="Times New Roman" w:hAnsi="Times New Roman" w:cs="Times New Roman"/>
          <w:sz w:val="32"/>
          <w:szCs w:val="32"/>
        </w:rPr>
        <w:t>)</w:t>
      </w: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5934075" cy="3038475"/>
            <wp:effectExtent l="0" t="0" r="952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B1" w:rsidRDefault="00FF6AA1">
      <w:pPr>
        <w:rPr>
          <w:rFonts w:ascii="Times New Roman" w:hAnsi="Times New Roman" w:cs="Times New Roman"/>
          <w:sz w:val="32"/>
          <w:szCs w:val="32"/>
        </w:rPr>
      </w:pPr>
      <w:r>
        <w:rPr>
          <w:rFonts w:ascii="MS Gothic" w:eastAsia="MS Gothic" w:hAnsi="MS Gothic" w:cs="MS Gothic" w:hint="eastAsia"/>
          <w:sz w:val="32"/>
          <w:szCs w:val="32"/>
        </w:rPr>
        <w:t>➤</w:t>
      </w:r>
      <w:r>
        <w:rPr>
          <w:rFonts w:ascii="MS Gothic" w:eastAsia="MS Gothic" w:hAnsi="MS Gothic" w:cs="MS Gothic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Перечень отчетных форм и кодов наборов открытых данных, которые им соответствуют: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ОКУД 0503123 7</w:t>
      </w:r>
      <w:r>
        <w:rPr>
          <w:sz w:val="32"/>
          <w:szCs w:val="32"/>
        </w:rPr>
        <w:t>710568760-MOCASHFLOW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ОКУД 0503127 7710568760-MOREPEXECUT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ОКУД 0503160 7710568760-MOEXPNOTE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ОКУД 0503164 7710568760-MOEXECUTBUDGET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>ОКУД 0503169 7710568760-MOINFDEBT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sz w:val="32"/>
          <w:szCs w:val="32"/>
        </w:rPr>
      </w:pPr>
      <w:r>
        <w:rPr>
          <w:sz w:val="32"/>
          <w:szCs w:val="32"/>
        </w:rPr>
        <w:t xml:space="preserve">ОКУД 0503173 </w:t>
      </w:r>
      <w:r>
        <w:rPr>
          <w:rFonts w:eastAsiaTheme="minorHAnsi"/>
          <w:sz w:val="32"/>
          <w:szCs w:val="32"/>
          <w:lang w:eastAsia="en-US"/>
        </w:rPr>
        <w:t>7710568760-MOCHANGEBALANCE</w:t>
      </w:r>
    </w:p>
    <w:p w:rsidR="00A67AB1" w:rsidRDefault="00FF6AA1">
      <w:pPr>
        <w:pStyle w:val="a4"/>
        <w:numPr>
          <w:ilvl w:val="0"/>
          <w:numId w:val="2"/>
        </w:numPr>
        <w:jc w:val="both"/>
        <w:rPr>
          <w:rFonts w:eastAsiaTheme="minorHAnsi"/>
          <w:sz w:val="32"/>
          <w:szCs w:val="32"/>
          <w:lang w:eastAsia="en-US"/>
        </w:rPr>
      </w:pPr>
      <w:r>
        <w:rPr>
          <w:rFonts w:eastAsiaTheme="minorHAnsi"/>
          <w:sz w:val="32"/>
          <w:szCs w:val="32"/>
          <w:lang w:eastAsia="en-US"/>
        </w:rPr>
        <w:t>Отчетность администратора доходов иных бюджетов (вло</w:t>
      </w:r>
      <w:r>
        <w:rPr>
          <w:rFonts w:eastAsiaTheme="minorHAnsi"/>
          <w:sz w:val="32"/>
          <w:szCs w:val="32"/>
          <w:lang w:eastAsia="en-US"/>
        </w:rPr>
        <w:t xml:space="preserve">жения в формате </w:t>
      </w:r>
      <w:proofErr w:type="spellStart"/>
      <w:r>
        <w:rPr>
          <w:rFonts w:eastAsiaTheme="minorHAnsi"/>
          <w:sz w:val="32"/>
          <w:szCs w:val="32"/>
          <w:lang w:eastAsia="en-US"/>
        </w:rPr>
        <w:t>txt</w:t>
      </w:r>
      <w:proofErr w:type="spellEnd"/>
      <w:r>
        <w:rPr>
          <w:rFonts w:eastAsiaTheme="minorHAnsi"/>
          <w:sz w:val="32"/>
          <w:szCs w:val="32"/>
          <w:lang w:eastAsia="en-US"/>
        </w:rPr>
        <w:t>) 7710568760-MOATTACHMENT</w:t>
      </w:r>
    </w:p>
    <w:sectPr w:rsidR="00A67A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646D0C"/>
    <w:multiLevelType w:val="hybridMultilevel"/>
    <w:tmpl w:val="8CB8D608"/>
    <w:lvl w:ilvl="0" w:tplc="8F669F1A">
      <w:start w:val="1"/>
      <w:numFmt w:val="bullet"/>
      <w:lvlText w:val="➤"/>
      <w:lvlJc w:val="left"/>
      <w:pPr>
        <w:tabs>
          <w:tab w:val="num" w:pos="720"/>
        </w:tabs>
        <w:ind w:left="720" w:hanging="360"/>
      </w:pPr>
      <w:rPr>
        <w:rFonts w:ascii="MS Gothic" w:hAnsi="MS Gothic" w:hint="default"/>
      </w:rPr>
    </w:lvl>
    <w:lvl w:ilvl="1" w:tplc="3CB415DC" w:tentative="1">
      <w:start w:val="1"/>
      <w:numFmt w:val="bullet"/>
      <w:lvlText w:val="➤"/>
      <w:lvlJc w:val="left"/>
      <w:pPr>
        <w:tabs>
          <w:tab w:val="num" w:pos="1440"/>
        </w:tabs>
        <w:ind w:left="1440" w:hanging="360"/>
      </w:pPr>
      <w:rPr>
        <w:rFonts w:ascii="MS Gothic" w:hAnsi="MS Gothic" w:hint="default"/>
      </w:rPr>
    </w:lvl>
    <w:lvl w:ilvl="2" w:tplc="F1784CE8" w:tentative="1">
      <w:start w:val="1"/>
      <w:numFmt w:val="bullet"/>
      <w:lvlText w:val="➤"/>
      <w:lvlJc w:val="left"/>
      <w:pPr>
        <w:tabs>
          <w:tab w:val="num" w:pos="2160"/>
        </w:tabs>
        <w:ind w:left="2160" w:hanging="360"/>
      </w:pPr>
      <w:rPr>
        <w:rFonts w:ascii="MS Gothic" w:hAnsi="MS Gothic" w:hint="default"/>
      </w:rPr>
    </w:lvl>
    <w:lvl w:ilvl="3" w:tplc="B32C5568" w:tentative="1">
      <w:start w:val="1"/>
      <w:numFmt w:val="bullet"/>
      <w:lvlText w:val="➤"/>
      <w:lvlJc w:val="left"/>
      <w:pPr>
        <w:tabs>
          <w:tab w:val="num" w:pos="2880"/>
        </w:tabs>
        <w:ind w:left="2880" w:hanging="360"/>
      </w:pPr>
      <w:rPr>
        <w:rFonts w:ascii="MS Gothic" w:hAnsi="MS Gothic" w:hint="default"/>
      </w:rPr>
    </w:lvl>
    <w:lvl w:ilvl="4" w:tplc="F47CEE08" w:tentative="1">
      <w:start w:val="1"/>
      <w:numFmt w:val="bullet"/>
      <w:lvlText w:val="➤"/>
      <w:lvlJc w:val="left"/>
      <w:pPr>
        <w:tabs>
          <w:tab w:val="num" w:pos="3600"/>
        </w:tabs>
        <w:ind w:left="3600" w:hanging="360"/>
      </w:pPr>
      <w:rPr>
        <w:rFonts w:ascii="MS Gothic" w:hAnsi="MS Gothic" w:hint="default"/>
      </w:rPr>
    </w:lvl>
    <w:lvl w:ilvl="5" w:tplc="3FC8320C" w:tentative="1">
      <w:start w:val="1"/>
      <w:numFmt w:val="bullet"/>
      <w:lvlText w:val="➤"/>
      <w:lvlJc w:val="left"/>
      <w:pPr>
        <w:tabs>
          <w:tab w:val="num" w:pos="4320"/>
        </w:tabs>
        <w:ind w:left="4320" w:hanging="360"/>
      </w:pPr>
      <w:rPr>
        <w:rFonts w:ascii="MS Gothic" w:hAnsi="MS Gothic" w:hint="default"/>
      </w:rPr>
    </w:lvl>
    <w:lvl w:ilvl="6" w:tplc="77DA5FAA" w:tentative="1">
      <w:start w:val="1"/>
      <w:numFmt w:val="bullet"/>
      <w:lvlText w:val="➤"/>
      <w:lvlJc w:val="left"/>
      <w:pPr>
        <w:tabs>
          <w:tab w:val="num" w:pos="5040"/>
        </w:tabs>
        <w:ind w:left="5040" w:hanging="360"/>
      </w:pPr>
      <w:rPr>
        <w:rFonts w:ascii="MS Gothic" w:hAnsi="MS Gothic" w:hint="default"/>
      </w:rPr>
    </w:lvl>
    <w:lvl w:ilvl="7" w:tplc="9BC443D6" w:tentative="1">
      <w:start w:val="1"/>
      <w:numFmt w:val="bullet"/>
      <w:lvlText w:val="➤"/>
      <w:lvlJc w:val="left"/>
      <w:pPr>
        <w:tabs>
          <w:tab w:val="num" w:pos="5760"/>
        </w:tabs>
        <w:ind w:left="5760" w:hanging="360"/>
      </w:pPr>
      <w:rPr>
        <w:rFonts w:ascii="MS Gothic" w:hAnsi="MS Gothic" w:hint="default"/>
      </w:rPr>
    </w:lvl>
    <w:lvl w:ilvl="8" w:tplc="D286DFEC" w:tentative="1">
      <w:start w:val="1"/>
      <w:numFmt w:val="bullet"/>
      <w:lvlText w:val="➤"/>
      <w:lvlJc w:val="left"/>
      <w:pPr>
        <w:tabs>
          <w:tab w:val="num" w:pos="6480"/>
        </w:tabs>
        <w:ind w:left="6480" w:hanging="360"/>
      </w:pPr>
      <w:rPr>
        <w:rFonts w:ascii="MS Gothic" w:hAnsi="MS Gothic" w:hint="default"/>
      </w:rPr>
    </w:lvl>
  </w:abstractNum>
  <w:abstractNum w:abstractNumId="1">
    <w:nsid w:val="7735081D"/>
    <w:multiLevelType w:val="hybridMultilevel"/>
    <w:tmpl w:val="DC3EEC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7AB1"/>
    <w:rsid w:val="00A67AB1"/>
    <w:rsid w:val="00FF6A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Pr>
      <w:b/>
      <w:bCs/>
      <w:sz w:val="20"/>
      <w:szCs w:val="20"/>
    </w:rPr>
  </w:style>
  <w:style w:type="character" w:customStyle="1" w:styleId="x1a">
    <w:name w:val="x1a"/>
    <w:basedOn w:val="a0"/>
  </w:style>
  <w:style w:type="character" w:customStyle="1" w:styleId="10">
    <w:name w:val="Заголовок 1 Знак"/>
    <w:basedOn w:val="a0"/>
    <w:link w:val="1"/>
    <w:uiPriority w:val="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c">
    <w:name w:val="Hyperlink"/>
    <w:basedOn w:val="a0"/>
    <w:uiPriority w:val="99"/>
    <w:semiHidden/>
    <w:unhideWhenUsed/>
    <w:rPr>
      <w:color w:val="0000FF"/>
      <w:u w:val="single"/>
    </w:rPr>
  </w:style>
  <w:style w:type="character" w:customStyle="1" w:styleId="breadcrumbs-delimiter">
    <w:name w:val="breadcrumbs-delimiter"/>
    <w:basedOn w:val="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pPr>
      <w:spacing w:after="0" w:line="240" w:lineRule="auto"/>
      <w:ind w:left="720"/>
      <w:contextualSpacing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hAnsi="Tahoma" w:cs="Tahoma"/>
      <w:sz w:val="16"/>
      <w:szCs w:val="16"/>
    </w:rPr>
  </w:style>
  <w:style w:type="character" w:styleId="a7">
    <w:name w:val="annotation reference"/>
    <w:basedOn w:val="a0"/>
    <w:uiPriority w:val="99"/>
    <w:semiHidden/>
    <w:unhideWhenUsed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Pr>
      <w:b/>
      <w:bCs/>
      <w:sz w:val="20"/>
      <w:szCs w:val="20"/>
    </w:rPr>
  </w:style>
  <w:style w:type="character" w:customStyle="1" w:styleId="x1a">
    <w:name w:val="x1a"/>
    <w:basedOn w:val="a0"/>
  </w:style>
  <w:style w:type="character" w:customStyle="1" w:styleId="10">
    <w:name w:val="Заголовок 1 Знак"/>
    <w:basedOn w:val="a0"/>
    <w:link w:val="1"/>
    <w:uiPriority w:val="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c">
    <w:name w:val="Hyperlink"/>
    <w:basedOn w:val="a0"/>
    <w:uiPriority w:val="99"/>
    <w:semiHidden/>
    <w:unhideWhenUsed/>
    <w:rPr>
      <w:color w:val="0000FF"/>
      <w:u w:val="single"/>
    </w:rPr>
  </w:style>
  <w:style w:type="character" w:customStyle="1" w:styleId="breadcrumbs-delimiter">
    <w:name w:val="breadcrumbs-delimiter"/>
    <w:basedOn w:val="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96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95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8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437285">
          <w:marLeft w:val="994"/>
          <w:marRight w:val="0"/>
          <w:marTop w:val="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94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7043467">
          <w:marLeft w:val="994"/>
          <w:marRight w:val="0"/>
          <w:marTop w:val="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966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6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2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udget.gov.ru/epbs/faces/p/%D0%91%D1%8E%D0%B4%D0%B6%D0%B5%D1%82/%D0%91%D1%8E%D0%B4%D0%B6%D0%B5%D1%82%D0%BD%D0%B0%D1%8F%20%D0%BE%D1%82%D1%87%D0%B5%D1%82%D0%BD%D0%BE%D1%81%D1%82%D1%8C" TargetMode="External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budget.gov.ru/epbs/faces/p/%D0%91%D1%8E%D0%B4%D0%B6%D0%B5%D1%82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424</Words>
  <Characters>2423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Nt133</dc:creator>
  <cp:lastModifiedBy>Nt133</cp:lastModifiedBy>
  <cp:revision>2</cp:revision>
  <dcterms:created xsi:type="dcterms:W3CDTF">2021-07-02T07:13:00Z</dcterms:created>
  <dcterms:modified xsi:type="dcterms:W3CDTF">2021-07-02T07:13:00Z</dcterms:modified>
</cp:coreProperties>
</file>